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2E5C8A"/>
          <w:sz w:val="40"/>
          <w:szCs w:val="40"/>
        </w:rPr>
        <w:t xml:space="preserve">Assessment Task 1: Simulated Call</w:t>
      </w:r>
    </w:p>
    <w:p>
      <w:pPr>
        <w:spacing w:after="160"/>
      </w:pPr>
      <w:r>
        <w:rPr>
          <w:rFonts w:ascii="Arial" w:cs="Arial" w:eastAsia="Arial" w:hAnsi="Arial"/>
          <w:i/>
          <w:iCs/>
          <w:color w:val="444444"/>
          <w:sz w:val="24"/>
          <w:szCs w:val="24"/>
        </w:rPr>
        <w:t xml:space="preserve">Customer Service Communication Foundations</w:t>
      </w:r>
    </w:p>
    <w:p>
      <w:pPr>
        <w:spacing w:after="110" w:before="240"/>
      </w:pPr>
      <w:r>
        <w:rPr>
          <w:rFonts w:ascii="Arial" w:cs="Arial" w:eastAsia="Arial" w:hAnsi="Arial"/>
          <w:b/>
          <w:bCs/>
          <w:color w:val="1A3A5C"/>
          <w:sz w:val="25"/>
          <w:szCs w:val="25"/>
        </w:rPr>
        <w:t xml:space="preserve">What you will do</w:t>
      </w:r>
    </w:p>
    <w:p>
      <w:pPr>
        <w:pStyle w:val="ListParagraph"/>
        <w:numPr>
          <w:ilvl w:val="0"/>
          <w:numId w:val="2"/>
        </w:numPr>
        <w:spacing w:after="50" w:before="50"/>
      </w:pPr>
      <w:r>
        <w:rPr>
          <w:rFonts w:ascii="Arial" w:cs="Arial" w:eastAsia="Arial" w:hAnsi="Arial"/>
          <w:sz w:val="23"/>
          <w:szCs w:val="23"/>
        </w:rPr>
        <w:t xml:space="preserve">Choose one of the two scenarios provided (Scenario Briefs below).</w:t>
      </w:r>
    </w:p>
    <w:p>
      <w:pPr>
        <w:pStyle w:val="ListParagraph"/>
        <w:numPr>
          <w:ilvl w:val="0"/>
          <w:numId w:val="2"/>
        </w:numPr>
        <w:spacing w:after="50" w:before="50"/>
      </w:pPr>
      <w:r>
        <w:rPr>
          <w:rFonts w:ascii="Arial" w:cs="Arial" w:eastAsia="Arial" w:hAnsi="Arial"/>
          <w:sz w:val="23"/>
          <w:szCs w:val="23"/>
        </w:rPr>
        <w:t xml:space="preserve">Pair with another learner. One of you plays the staff member, the other plays the customer. You will each submit a recording in which you are the staff member, so you will each take a turn.</w:t>
      </w:r>
    </w:p>
    <w:p>
      <w:pPr>
        <w:pStyle w:val="ListParagraph"/>
        <w:numPr>
          <w:ilvl w:val="0"/>
          <w:numId w:val="2"/>
        </w:numPr>
        <w:spacing w:after="50" w:before="50"/>
      </w:pPr>
      <w:r>
        <w:rPr>
          <w:rFonts w:ascii="Arial" w:cs="Arial" w:eastAsia="Arial" w:hAnsi="Arial"/>
          <w:sz w:val="23"/>
          <w:szCs w:val="23"/>
        </w:rPr>
        <w:t xml:space="preserve">Record a 5 to 7 minute audio call where you handle the scenario from start to finish.</w:t>
      </w:r>
    </w:p>
    <w:p>
      <w:pPr>
        <w:pStyle w:val="ListParagraph"/>
        <w:numPr>
          <w:ilvl w:val="0"/>
          <w:numId w:val="2"/>
        </w:numPr>
        <w:spacing w:after="50" w:before="50"/>
      </w:pPr>
      <w:r>
        <w:rPr>
          <w:rFonts w:ascii="Arial" w:cs="Arial" w:eastAsia="Arial" w:hAnsi="Arial"/>
          <w:sz w:val="23"/>
          <w:szCs w:val="23"/>
        </w:rPr>
        <w:t xml:space="preserve">Submit your recording via the LMS dropbox.</w:t>
      </w:r>
    </w:p>
    <w:p>
      <w:pPr>
        <w:spacing w:after="110" w:before="240"/>
      </w:pPr>
      <w:r>
        <w:rPr>
          <w:rFonts w:ascii="Arial" w:cs="Arial" w:eastAsia="Arial" w:hAnsi="Arial"/>
          <w:b/>
          <w:bCs/>
          <w:color w:val="1A3A5C"/>
          <w:sz w:val="25"/>
          <w:szCs w:val="25"/>
        </w:rPr>
        <w:t xml:space="preserve">Your call should demonstrate</w:t>
      </w:r>
    </w:p>
    <w:p>
      <w:pPr>
        <w:pStyle w:val="ListParagraph"/>
        <w:numPr>
          <w:ilvl w:val="0"/>
          <w:numId w:val="3"/>
        </w:numPr>
        <w:spacing w:after="50" w:before="50"/>
      </w:pPr>
      <w:r>
        <w:rPr>
          <w:rFonts w:ascii="Arial" w:cs="Arial" w:eastAsia="Arial" w:hAnsi="Arial"/>
          <w:sz w:val="23"/>
          <w:szCs w:val="23"/>
        </w:rPr>
        <w:t xml:space="preserve">A professional phone greeting and closure.</w:t>
      </w:r>
    </w:p>
    <w:p>
      <w:pPr>
        <w:pStyle w:val="ListParagraph"/>
        <w:numPr>
          <w:ilvl w:val="0"/>
          <w:numId w:val="3"/>
        </w:numPr>
        <w:spacing w:after="50" w:before="50"/>
      </w:pPr>
      <w:r>
        <w:rPr>
          <w:rFonts w:ascii="Arial" w:cs="Arial" w:eastAsia="Arial" w:hAnsi="Arial"/>
          <w:sz w:val="23"/>
          <w:szCs w:val="23"/>
        </w:rPr>
        <w:t xml:space="preserve">Appropriate use of hold, transfer, or summary techniques where relevant.</w:t>
      </w:r>
    </w:p>
    <w:p>
      <w:pPr>
        <w:pStyle w:val="ListParagraph"/>
        <w:numPr>
          <w:ilvl w:val="0"/>
          <w:numId w:val="3"/>
        </w:numPr>
        <w:spacing w:after="50" w:before="50"/>
      </w:pPr>
      <w:r>
        <w:rPr>
          <w:rFonts w:ascii="Arial" w:cs="Arial" w:eastAsia="Arial" w:hAnsi="Arial"/>
          <w:sz w:val="23"/>
          <w:szCs w:val="23"/>
        </w:rPr>
        <w:t xml:space="preserve">Evidence that you are picking up on the customer's emotional cues and responding to them.</w:t>
      </w:r>
    </w:p>
    <w:p>
      <w:pPr>
        <w:pStyle w:val="ListParagraph"/>
        <w:numPr>
          <w:ilvl w:val="0"/>
          <w:numId w:val="3"/>
        </w:numPr>
        <w:spacing w:after="50" w:before="50"/>
      </w:pPr>
      <w:r>
        <w:rPr>
          <w:rFonts w:ascii="Arial" w:cs="Arial" w:eastAsia="Arial" w:hAnsi="Arial"/>
          <w:sz w:val="23"/>
          <w:szCs w:val="23"/>
        </w:rPr>
        <w:t xml:space="preserve">Tone and language adapted to the specific customer and situation.</w:t>
      </w:r>
    </w:p>
    <w:p>
      <w:pPr>
        <w:pStyle w:val="ListParagraph"/>
        <w:numPr>
          <w:ilvl w:val="0"/>
          <w:numId w:val="3"/>
        </w:numPr>
        <w:spacing w:after="50" w:before="50"/>
      </w:pPr>
      <w:r>
        <w:rPr>
          <w:rFonts w:ascii="Arial" w:cs="Arial" w:eastAsia="Arial" w:hAnsi="Arial"/>
          <w:sz w:val="23"/>
          <w:szCs w:val="23"/>
        </w:rPr>
        <w:t xml:space="preserve">Active listening and de-escalation techniques applied where the call escalates.</w:t>
      </w:r>
    </w:p>
    <w:p>
      <w:pPr>
        <w:pStyle w:val="ListParagraph"/>
        <w:numPr>
          <w:ilvl w:val="0"/>
          <w:numId w:val="3"/>
        </w:numPr>
        <w:spacing w:after="50" w:before="50"/>
      </w:pPr>
      <w:r>
        <w:rPr>
          <w:rFonts w:ascii="Arial" w:cs="Arial" w:eastAsia="Arial" w:hAnsi="Arial"/>
          <w:sz w:val="23"/>
          <w:szCs w:val="23"/>
        </w:rPr>
        <w:t xml:space="preserve">A clear resolution or appropriate next step.</w:t>
      </w:r>
    </w:p>
    <w:p>
      <w:pPr>
        <w:spacing w:after="110" w:before="240"/>
      </w:pPr>
      <w:r>
        <w:rPr>
          <w:rFonts w:ascii="Arial" w:cs="Arial" w:eastAsia="Arial" w:hAnsi="Arial"/>
          <w:b/>
          <w:bCs/>
          <w:color w:val="1A3A5C"/>
          <w:sz w:val="25"/>
          <w:szCs w:val="25"/>
        </w:rPr>
        <w:t xml:space="preserve">Guidance notes for learners</w:t>
      </w:r>
    </w:p>
    <w:p>
      <w:pPr>
        <w:pStyle w:val="ListParagraph"/>
        <w:numPr>
          <w:ilvl w:val="0"/>
          <w:numId w:val="4"/>
        </w:numPr>
        <w:spacing w:after="50" w:before="50"/>
      </w:pPr>
      <w:r>
        <w:rPr>
          <w:rFonts w:ascii="Arial" w:cs="Arial" w:eastAsia="Arial" w:hAnsi="Arial"/>
          <w:sz w:val="23"/>
          <w:szCs w:val="23"/>
        </w:rPr>
        <w:t xml:space="preserve">The customer should play the role realistically and follow the scenario card.</w:t>
      </w:r>
    </w:p>
    <w:p>
      <w:pPr>
        <w:pStyle w:val="ListParagraph"/>
        <w:numPr>
          <w:ilvl w:val="0"/>
          <w:numId w:val="4"/>
        </w:numPr>
        <w:spacing w:after="50" w:before="50"/>
      </w:pPr>
      <w:r>
        <w:rPr>
          <w:rFonts w:ascii="Arial" w:cs="Arial" w:eastAsia="Arial" w:hAnsi="Arial"/>
          <w:sz w:val="23"/>
          <w:szCs w:val="23"/>
        </w:rPr>
        <w:t xml:space="preserve">You can pause and restart if needed, but the final submitted recording should be a single continuous take.</w:t>
      </w:r>
    </w:p>
    <w:p>
      <w:pPr>
        <w:pStyle w:val="ListParagraph"/>
        <w:numPr>
          <w:ilvl w:val="0"/>
          <w:numId w:val="4"/>
        </w:numPr>
        <w:spacing w:after="50" w:before="50"/>
      </w:pPr>
      <w:r>
        <w:rPr>
          <w:rFonts w:ascii="Arial" w:cs="Arial" w:eastAsia="Arial" w:hAnsi="Arial"/>
          <w:sz w:val="23"/>
          <w:szCs w:val="23"/>
        </w:rPr>
        <w:t xml:space="preserve">Use any audio recording tool: phone voice memo, Zoom recording, or the LMS recording feature.</w:t>
      </w:r>
    </w:p>
    <w:p>
      <w:pPr>
        <w:spacing w:after="110" w:before="240"/>
      </w:pPr>
      <w:r>
        <w:rPr>
          <w:rFonts w:ascii="Arial" w:cs="Arial" w:eastAsia="Arial" w:hAnsi="Arial"/>
          <w:b/>
          <w:bCs/>
          <w:color w:val="1A3A5C"/>
          <w:sz w:val="25"/>
          <w:szCs w:val="25"/>
        </w:rPr>
        <w:t xml:space="preserve">Scenario Briefs</w:t>
      </w:r>
    </w:p>
    <w:p>
      <w:pPr>
        <w:spacing w:after="70" w:before="70"/>
      </w:pPr>
      <w:r>
        <w:rPr>
          <w:rFonts w:ascii="Arial" w:cs="Arial" w:eastAsia="Arial" w:hAnsi="Arial"/>
          <w:sz w:val="23"/>
          <w:szCs w:val="23"/>
        </w:rPr>
        <w:t xml:space="preserve">Choose ONE of the following: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7FAFD" w:val="clear"/>
            <w:tcMar>
              <w:top w:type="dxa" w:w="140"/>
              <w:left w:type="dxa" w:w="160"/>
              <w:bottom w:type="dxa" w:w="140"/>
              <w:right w:type="dxa" w:w="160"/>
            </w:tcMar>
          </w:tcPr>
          <w:p>
            <w:pPr>
              <w:spacing w:after="60"/>
            </w:pPr>
            <w:r>
              <w:rPr>
                <w:rFonts w:ascii="Arial" w:cs="Arial" w:eastAsia="Arial" w:hAnsi="Arial"/>
                <w:b/>
                <w:bCs/>
                <w:color w:val="1A3A5C"/>
                <w:sz w:val="24"/>
                <w:szCs w:val="24"/>
              </w:rPr>
              <w:t xml:space="preserve">Scenario A: A Dispute</w:t>
            </w:r>
          </w:p>
          <w:p>
            <w:r>
              <w:rPr>
                <w:rFonts w:ascii="Arial" w:cs="Arial" w:eastAsia="Arial" w:hAnsi="Arial"/>
                <w:sz w:val="23"/>
                <w:szCs w:val="23"/>
              </w:rPr>
              <w:t xml:space="preserve">The customer has been charged for a service they say they cancelled two months ago. They have been told different things by three previous staff members. They are calm but firm, and they want this resolved on this call.</w:t>
            </w:r>
          </w:p>
        </w:tc>
      </w:tr>
    </w:tbl>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7FAFD" w:val="clear"/>
            <w:tcMar>
              <w:top w:type="dxa" w:w="140"/>
              <w:left w:type="dxa" w:w="160"/>
              <w:bottom w:type="dxa" w:w="140"/>
              <w:right w:type="dxa" w:w="160"/>
            </w:tcMar>
          </w:tcPr>
          <w:p>
            <w:pPr>
              <w:spacing w:after="60"/>
            </w:pPr>
            <w:r>
              <w:rPr>
                <w:rFonts w:ascii="Arial" w:cs="Arial" w:eastAsia="Arial" w:hAnsi="Arial"/>
                <w:b/>
                <w:bCs/>
                <w:color w:val="1A3A5C"/>
                <w:sz w:val="24"/>
                <w:szCs w:val="24"/>
              </w:rPr>
              <w:t xml:space="preserve">Scenario B: The Escalation</w:t>
            </w:r>
          </w:p>
          <w:p>
            <w:r>
              <w:rPr>
                <w:rFonts w:ascii="Arial" w:cs="Arial" w:eastAsia="Arial" w:hAnsi="Arial"/>
                <w:sz w:val="23"/>
                <w:szCs w:val="23"/>
              </w:rPr>
              <w:t xml:space="preserve">The customer has already spoken to two other staff members today. They are angry, they have used the phrase 'I'm going to leave a review', and they are talking over you in the opening.</w:t>
            </w:r>
          </w:p>
        </w:tc>
      </w:tr>
    </w:tbl>
    <w:p>
      <w:pPr>
        <w:sectPr>
          <w:pgSz w:w="12240" w:h="15840" w:orient="portrait"/>
          <w:pgMar w:top="1440" w:right="1440" w:bottom="1440" w:left="1440" w:header="708" w:footer="708" w:gutter="0"/>
          <w:pgNumType/>
          <w:docGrid w:linePitch="360"/>
        </w:sectPr>
      </w:pPr>
    </w:p>
    <w:p>
      <w:pPr>
        <w:spacing w:after="80"/>
      </w:pPr>
      <w:r>
        <w:rPr>
          <w:rFonts w:ascii="Arial" w:cs="Arial" w:eastAsia="Arial" w:hAnsi="Arial"/>
          <w:b/>
          <w:bCs/>
          <w:color w:val="2E5C8A"/>
          <w:sz w:val="32"/>
          <w:szCs w:val="32"/>
        </w:rPr>
        <w:t xml:space="preserve">Marking Rubric: Simulated Call</w:t>
      </w:r>
    </w:p>
    <w:p>
      <w:pPr>
        <w:spacing w:after="160"/>
      </w:pPr>
      <w:r>
        <w:rPr>
          <w:rFonts w:ascii="Arial" w:cs="Arial" w:eastAsia="Arial" w:hAnsi="Arial"/>
          <w:i/>
          <w:iCs/>
          <w:color w:val="444444"/>
          <w:sz w:val="22"/>
          <w:szCs w:val="22"/>
        </w:rPr>
        <w:t xml:space="preserve">Total: 100 points. Each criterion is marked out of 25.</w:t>
      </w:r>
    </w:p>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2600"/>
        <w:gridCol w:w="900"/>
        <w:gridCol w:w="3393"/>
        <w:gridCol w:w="3393"/>
        <w:gridCol w:w="3394"/>
      </w:tblGrid>
      <w:tr>
        <w:trPr>
          <w:tblHeader/>
        </w:trPr>
        <w:tc>
          <w:tcPr>
            <w:tcW w:type="dxa" w:w="2600"/>
            <w:tcBorders>
              <w:top w:val="single" w:color="CCCCCC" w:sz="1"/>
              <w:left w:val="single" w:color="CCCCCC" w:sz="1"/>
              <w:bottom w:val="single" w:color="CCCCCC" w:sz="1"/>
              <w:right w:val="single" w:color="CCCCCC" w:sz="1"/>
            </w:tcBorders>
            <w:shd w:fill="2E5C8A" w:val="clear"/>
            <w:tcMar>
              <w:top w:type="dxa" w:w="100"/>
              <w:left w:type="dxa" w:w="120"/>
              <w:bottom w:type="dxa" w:w="100"/>
              <w:right w:type="dxa" w:w="120"/>
            </w:tcMar>
          </w:tcPr>
          <w:p>
            <w:r>
              <w:rPr>
                <w:rFonts w:ascii="Arial" w:cs="Arial" w:eastAsia="Arial" w:hAnsi="Arial"/>
                <w:b/>
                <w:bCs/>
                <w:color w:val="FFFFFF"/>
                <w:sz w:val="20"/>
                <w:szCs w:val="20"/>
              </w:rPr>
              <w:t xml:space="preserve">Criteria</w:t>
            </w:r>
          </w:p>
        </w:tc>
        <w:tc>
          <w:tcPr>
            <w:tcW w:type="dxa" w:w="900"/>
            <w:tcBorders>
              <w:top w:val="single" w:color="CCCCCC" w:sz="1"/>
              <w:left w:val="single" w:color="CCCCCC" w:sz="1"/>
              <w:bottom w:val="single" w:color="CCCCCC" w:sz="1"/>
              <w:right w:val="single" w:color="CCCCCC" w:sz="1"/>
            </w:tcBorders>
            <w:shd w:fill="2E5C8A" w:val="clear"/>
            <w:tcMar>
              <w:top w:type="dxa" w:w="100"/>
              <w:left w:type="dxa" w:w="120"/>
              <w:bottom w:type="dxa" w:w="100"/>
              <w:right w:type="dxa" w:w="120"/>
            </w:tcMar>
          </w:tcPr>
          <w:p>
            <w:r>
              <w:rPr>
                <w:rFonts w:ascii="Arial" w:cs="Arial" w:eastAsia="Arial" w:hAnsi="Arial"/>
                <w:b/>
                <w:bCs/>
                <w:color w:val="FFFFFF"/>
                <w:sz w:val="20"/>
                <w:szCs w:val="20"/>
              </w:rPr>
              <w:t xml:space="preserve">Points</w:t>
            </w:r>
          </w:p>
        </w:tc>
        <w:tc>
          <w:tcPr>
            <w:tcW w:type="dxa" w:w="3393"/>
            <w:tcBorders>
              <w:top w:val="single" w:color="CCCCCC" w:sz="1"/>
              <w:left w:val="single" w:color="CCCCCC" w:sz="1"/>
              <w:bottom w:val="single" w:color="CCCCCC" w:sz="1"/>
              <w:right w:val="single" w:color="CCCCCC" w:sz="1"/>
            </w:tcBorders>
            <w:shd w:fill="2E5C8A" w:val="clear"/>
            <w:tcMar>
              <w:top w:type="dxa" w:w="100"/>
              <w:left w:type="dxa" w:w="120"/>
              <w:bottom w:type="dxa" w:w="100"/>
              <w:right w:type="dxa" w:w="120"/>
            </w:tcMar>
          </w:tcPr>
          <w:p>
            <w:r>
              <w:rPr>
                <w:rFonts w:ascii="Arial" w:cs="Arial" w:eastAsia="Arial" w:hAnsi="Arial"/>
                <w:b/>
                <w:bCs/>
                <w:color w:val="FFFFFF"/>
                <w:sz w:val="20"/>
                <w:szCs w:val="20"/>
              </w:rPr>
              <w:t xml:space="preserve">Exceeds expectations</w:t>
            </w:r>
          </w:p>
        </w:tc>
        <w:tc>
          <w:tcPr>
            <w:tcW w:type="dxa" w:w="3393"/>
            <w:tcBorders>
              <w:top w:val="single" w:color="CCCCCC" w:sz="1"/>
              <w:left w:val="single" w:color="CCCCCC" w:sz="1"/>
              <w:bottom w:val="single" w:color="CCCCCC" w:sz="1"/>
              <w:right w:val="single" w:color="CCCCCC" w:sz="1"/>
            </w:tcBorders>
            <w:shd w:fill="2E5C8A" w:val="clear"/>
            <w:tcMar>
              <w:top w:type="dxa" w:w="100"/>
              <w:left w:type="dxa" w:w="120"/>
              <w:bottom w:type="dxa" w:w="100"/>
              <w:right w:type="dxa" w:w="120"/>
            </w:tcMar>
          </w:tcPr>
          <w:p>
            <w:r>
              <w:rPr>
                <w:rFonts w:ascii="Arial" w:cs="Arial" w:eastAsia="Arial" w:hAnsi="Arial"/>
                <w:b/>
                <w:bCs/>
                <w:color w:val="FFFFFF"/>
                <w:sz w:val="20"/>
                <w:szCs w:val="20"/>
              </w:rPr>
              <w:t xml:space="preserve">Meets expectations</w:t>
            </w:r>
          </w:p>
        </w:tc>
        <w:tc>
          <w:tcPr>
            <w:tcW w:type="dxa" w:w="3394"/>
            <w:tcBorders>
              <w:top w:val="single" w:color="CCCCCC" w:sz="1"/>
              <w:left w:val="single" w:color="CCCCCC" w:sz="1"/>
              <w:bottom w:val="single" w:color="CCCCCC" w:sz="1"/>
              <w:right w:val="single" w:color="CCCCCC" w:sz="1"/>
            </w:tcBorders>
            <w:shd w:fill="2E5C8A" w:val="clear"/>
            <w:tcMar>
              <w:top w:type="dxa" w:w="100"/>
              <w:left w:type="dxa" w:w="120"/>
              <w:bottom w:type="dxa" w:w="100"/>
              <w:right w:type="dxa" w:w="120"/>
            </w:tcMar>
          </w:tcPr>
          <w:p>
            <w:r>
              <w:rPr>
                <w:rFonts w:ascii="Arial" w:cs="Arial" w:eastAsia="Arial" w:hAnsi="Arial"/>
                <w:b/>
                <w:bCs/>
                <w:color w:val="FFFFFF"/>
                <w:sz w:val="20"/>
                <w:szCs w:val="20"/>
              </w:rPr>
              <w:t xml:space="preserve">Working towards</w:t>
            </w:r>
          </w:p>
        </w:tc>
      </w:tr>
      <w:tr>
        <w:tc>
          <w:tcPr>
            <w:tcW w:type="dxa" w:w="2600"/>
            <w:tcBorders>
              <w:top w:val="single" w:color="CCCCCC" w:sz="1"/>
              <w:left w:val="single" w:color="CCCCCC" w:sz="1"/>
              <w:bottom w:val="single" w:color="CCCCCC" w:sz="1"/>
              <w:right w:val="single" w:color="CCCCCC" w:sz="1"/>
            </w:tcBorders>
            <w:shd w:fill="EBF2FA" w:val="clear"/>
            <w:tcMar>
              <w:top w:type="dxa" w:w="100"/>
              <w:left w:type="dxa" w:w="120"/>
              <w:bottom w:type="dxa" w:w="100"/>
              <w:right w:type="dxa" w:w="120"/>
            </w:tcMar>
          </w:tcPr>
          <w:p>
            <w:r>
              <w:rPr>
                <w:rFonts w:ascii="Arial" w:cs="Arial" w:eastAsia="Arial" w:hAnsi="Arial"/>
                <w:b/>
                <w:bCs/>
                <w:color w:val="000000"/>
                <w:sz w:val="20"/>
                <w:szCs w:val="20"/>
              </w:rPr>
              <w:t xml:space="preserve">Phone etiquette: greeting, pacing, hold, transfer, closure</w:t>
            </w:r>
          </w:p>
        </w:tc>
        <w:tc>
          <w:tcPr>
            <w:tcW w:type="dxa" w:w="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color w:val="000000"/>
                <w:sz w:val="20"/>
                <w:szCs w:val="20"/>
              </w:rPr>
              <w:t xml:space="preserve">/25</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Etiquette is consistently professional, warm, and natural throughout.</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Etiquette is professional with minor lapses.</w:t>
            </w:r>
          </w:p>
        </w:tc>
        <w:tc>
          <w:tcPr>
            <w:tcW w:type="dxa" w:w="3394"/>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Etiquette absent or unprofessional.</w:t>
            </w:r>
          </w:p>
        </w:tc>
      </w:tr>
      <w:tr>
        <w:tc>
          <w:tcPr>
            <w:tcW w:type="dxa" w:w="2600"/>
            <w:tcBorders>
              <w:top w:val="single" w:color="CCCCCC" w:sz="1"/>
              <w:left w:val="single" w:color="CCCCCC" w:sz="1"/>
              <w:bottom w:val="single" w:color="CCCCCC" w:sz="1"/>
              <w:right w:val="single" w:color="CCCCCC" w:sz="1"/>
            </w:tcBorders>
            <w:shd w:fill="EBF2FA" w:val="clear"/>
            <w:tcMar>
              <w:top w:type="dxa" w:w="100"/>
              <w:left w:type="dxa" w:w="120"/>
              <w:bottom w:type="dxa" w:w="100"/>
              <w:right w:type="dxa" w:w="120"/>
            </w:tcMar>
          </w:tcPr>
          <w:p>
            <w:r>
              <w:rPr>
                <w:rFonts w:ascii="Arial" w:cs="Arial" w:eastAsia="Arial" w:hAnsi="Arial"/>
                <w:b/>
                <w:bCs/>
                <w:color w:val="000000"/>
                <w:sz w:val="20"/>
                <w:szCs w:val="20"/>
              </w:rPr>
              <w:t xml:space="preserve">Reading the customer: interprets verbal cues, identifies underlying needs</w:t>
            </w:r>
          </w:p>
        </w:tc>
        <w:tc>
          <w:tcPr>
            <w:tcW w:type="dxa" w:w="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color w:val="000000"/>
                <w:sz w:val="20"/>
                <w:szCs w:val="20"/>
              </w:rPr>
              <w:t xml:space="preserve">/25</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Demonstrates sophisticated, ongoing attunement to customer cues.</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Picks up clear cues and responds appropriately.</w:t>
            </w:r>
          </w:p>
        </w:tc>
        <w:tc>
          <w:tcPr>
            <w:tcW w:type="dxa" w:w="3394"/>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Misses cues or misreads emotional state.</w:t>
            </w:r>
          </w:p>
        </w:tc>
      </w:tr>
      <w:tr>
        <w:tc>
          <w:tcPr>
            <w:tcW w:type="dxa" w:w="2600"/>
            <w:tcBorders>
              <w:top w:val="single" w:color="CCCCCC" w:sz="1"/>
              <w:left w:val="single" w:color="CCCCCC" w:sz="1"/>
              <w:bottom w:val="single" w:color="CCCCCC" w:sz="1"/>
              <w:right w:val="single" w:color="CCCCCC" w:sz="1"/>
            </w:tcBorders>
            <w:shd w:fill="EBF2FA" w:val="clear"/>
            <w:tcMar>
              <w:top w:type="dxa" w:w="100"/>
              <w:left w:type="dxa" w:w="120"/>
              <w:bottom w:type="dxa" w:w="100"/>
              <w:right w:type="dxa" w:w="120"/>
            </w:tcMar>
          </w:tcPr>
          <w:p>
            <w:r>
              <w:rPr>
                <w:rFonts w:ascii="Arial" w:cs="Arial" w:eastAsia="Arial" w:hAnsi="Arial"/>
                <w:b/>
                <w:bCs/>
                <w:color w:val="000000"/>
                <w:sz w:val="20"/>
                <w:szCs w:val="20"/>
              </w:rPr>
              <w:t xml:space="preserve">Tone and language: adapts to customer and situation</w:t>
            </w:r>
          </w:p>
        </w:tc>
        <w:tc>
          <w:tcPr>
            <w:tcW w:type="dxa" w:w="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color w:val="000000"/>
                <w:sz w:val="20"/>
                <w:szCs w:val="20"/>
              </w:rPr>
              <w:t xml:space="preserve">/25</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Tone and language are precisely calibrated and shift skilfully.</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Tone and language fit the customer well.</w:t>
            </w:r>
          </w:p>
        </w:tc>
        <w:tc>
          <w:tcPr>
            <w:tcW w:type="dxa" w:w="3394"/>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Tone is inappropriate or harmful.</w:t>
            </w:r>
          </w:p>
        </w:tc>
      </w:tr>
      <w:tr>
        <w:tc>
          <w:tcPr>
            <w:tcW w:type="dxa" w:w="2600"/>
            <w:tcBorders>
              <w:top w:val="single" w:color="CCCCCC" w:sz="1"/>
              <w:left w:val="single" w:color="CCCCCC" w:sz="1"/>
              <w:bottom w:val="single" w:color="CCCCCC" w:sz="1"/>
              <w:right w:val="single" w:color="CCCCCC" w:sz="1"/>
            </w:tcBorders>
            <w:shd w:fill="EBF2FA" w:val="clear"/>
            <w:tcMar>
              <w:top w:type="dxa" w:w="100"/>
              <w:left w:type="dxa" w:w="120"/>
              <w:bottom w:type="dxa" w:w="100"/>
              <w:right w:type="dxa" w:w="120"/>
            </w:tcMar>
          </w:tcPr>
          <w:p>
            <w:r>
              <w:rPr>
                <w:rFonts w:ascii="Arial" w:cs="Arial" w:eastAsia="Arial" w:hAnsi="Arial"/>
                <w:b/>
                <w:bCs/>
                <w:color w:val="000000"/>
                <w:sz w:val="20"/>
                <w:szCs w:val="20"/>
              </w:rPr>
              <w:t xml:space="preserve">De-escalation and active listening</w:t>
            </w:r>
          </w:p>
        </w:tc>
        <w:tc>
          <w:tcPr>
            <w:tcW w:type="dxa" w:w="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color w:val="000000"/>
                <w:sz w:val="20"/>
                <w:szCs w:val="20"/>
              </w:rPr>
              <w:t xml:space="preserve">/25</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De-escalates skilfully; demonstrates strong active listening throughout.</w:t>
            </w:r>
          </w:p>
        </w:tc>
        <w:tc>
          <w:tcPr>
            <w:tcW w:type="dxa" w:w="3393"/>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De-escalates effectively; active listening evident.</w:t>
            </w:r>
          </w:p>
        </w:tc>
        <w:tc>
          <w:tcPr>
            <w:tcW w:type="dxa" w:w="3394"/>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val="false"/>
                <w:bCs w:val="false"/>
                <w:color w:val="000000"/>
                <w:sz w:val="20"/>
                <w:szCs w:val="20"/>
              </w:rPr>
              <w:t xml:space="preserve">Escalates the situation or shows poor listening.</w:t>
            </w:r>
          </w:p>
        </w:tc>
      </w:tr>
    </w:tbl>
    <w:p>
      <w:pPr>
        <w:spacing w:before="200"/>
      </w:pPr>
      <w:r>
        <w:rPr>
          <w:rFonts w:ascii="Arial" w:cs="Arial" w:eastAsia="Arial" w:hAnsi="Arial"/>
          <w:i/>
          <w:iCs/>
          <w:color w:val="555555"/>
          <w:sz w:val="20"/>
          <w:szCs w:val="20"/>
        </w:rPr>
        <w:t xml:space="preserve">Note: learners should reach Meets expectations or above on every criterion to demonstrate competence.</w:t>
      </w:r>
    </w:p>
    <w:sectPr>
      <w:pgSz w:w="12240" w:h="15840" w:orient="landscape"/>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00"/>
      </w:pPr>
    </w:lvl>
  </w:abstractNum>
  <w:abstractNum w:abstractNumId="3" w15:restartNumberingAfterBreak="0">
    <w:multiLevelType w:val="hybridMultilevel"/>
    <w:lvl w:ilvl="0" w15:tentative="1">
      <w:start w:val="1"/>
      <w:numFmt w:val="bullet"/>
      <w:lvlText w:val="•"/>
      <w:lvlJc w:val="left"/>
      <w:pPr>
        <w:ind w:left="600" w:hanging="300"/>
      </w:pPr>
    </w:lvl>
  </w:abstractNum>
  <w:abstractNum w:abstractNumId="4"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Arial" w:cs="Arial" w:eastAsia="Arial" w:hAnsi="Arial"/>
      <w:b/>
      <w:bCs/>
      <w:color w:val="2E5C8A"/>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2026-06-14T04:04:04.366Z</dcterms:created>
  <dcterms:modified xsi:type="dcterms:W3CDTF">2026-06-14T04:04:04.384Z</dcterms:modified>
</cp:coreProperties>
</file>

<file path=docProps/custom.xml><?xml version="1.0" encoding="utf-8"?>
<Properties xmlns="http://schemas.openxmlformats.org/officeDocument/2006/custom-properties" xmlns:vt="http://schemas.openxmlformats.org/officeDocument/2006/docPropsVTypes"/>
</file>